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60" w:rsidRDefault="00F42760">
      <w:pPr>
        <w:spacing w:after="0"/>
        <w:ind w:left="-1416" w:right="9423"/>
      </w:pPr>
    </w:p>
    <w:tbl>
      <w:tblPr>
        <w:tblStyle w:val="TableGrid"/>
        <w:tblW w:w="9745" w:type="dxa"/>
        <w:tblInd w:w="-106" w:type="dxa"/>
        <w:tblCellMar>
          <w:top w:w="45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3076"/>
        <w:gridCol w:w="4398"/>
        <w:gridCol w:w="2271"/>
      </w:tblGrid>
      <w:tr w:rsidR="00F42760">
        <w:trPr>
          <w:trHeight w:val="55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2760" w:rsidRDefault="009A3BAC">
            <w:pPr>
              <w:ind w:right="24"/>
              <w:jc w:val="center"/>
            </w:pPr>
            <w:r>
              <w:rPr>
                <w:b/>
              </w:rPr>
              <w:t xml:space="preserve">Core OSeMOSYS versions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2760" w:rsidRDefault="009A3BAC">
            <w:pPr>
              <w:ind w:right="25"/>
              <w:jc w:val="center"/>
            </w:pPr>
            <w:r>
              <w:rPr>
                <w:b/>
              </w:rPr>
              <w:t xml:space="preserve">Key changes to previous version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2760" w:rsidRDefault="009A3BAC">
            <w:pPr>
              <w:ind w:right="20"/>
              <w:jc w:val="center"/>
            </w:pPr>
            <w:r>
              <w:rPr>
                <w:b/>
              </w:rPr>
              <w:t xml:space="preserve">Compatible add-ons </w:t>
            </w:r>
          </w:p>
        </w:tc>
      </w:tr>
      <w:tr w:rsidR="001C4FF7" w:rsidTr="00564405">
        <w:trPr>
          <w:trHeight w:val="1210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>OSeMOSYS_201</w:t>
            </w:r>
            <w:r>
              <w:rPr>
                <w:b/>
              </w:rPr>
              <w:t>7</w:t>
            </w:r>
            <w:r>
              <w:rPr>
                <w:b/>
              </w:rPr>
              <w:t>_</w:t>
            </w:r>
            <w:r>
              <w:rPr>
                <w:b/>
              </w:rPr>
              <w:t>11</w:t>
            </w:r>
            <w:r>
              <w:rPr>
                <w:b/>
              </w:rPr>
              <w:t>_</w:t>
            </w:r>
            <w:r>
              <w:rPr>
                <w:b/>
              </w:rPr>
              <w:t>08</w:t>
            </w:r>
            <w:r>
              <w:rPr>
                <w:b/>
              </w:rPr>
              <w:t xml:space="preserve">/ </w:t>
            </w:r>
          </w:p>
          <w:p w:rsidR="001C4FF7" w:rsidRDefault="001C4FF7" w:rsidP="001C4FF7">
            <w:pPr>
              <w:jc w:val="both"/>
            </w:pPr>
            <w:r>
              <w:rPr>
                <w:b/>
              </w:rPr>
              <w:t xml:space="preserve">OSeMOSYS_2016_08_01_short </w:t>
            </w:r>
          </w:p>
          <w:p w:rsidR="001C4FF7" w:rsidRDefault="001C4FF7" w:rsidP="001C4FF7"/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>13 November 2017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pPr>
              <w:rPr>
                <w:b/>
              </w:rPr>
            </w:pPr>
            <w:r>
              <w:rPr>
                <w:b/>
              </w:rPr>
              <w:t>UTOPIA_201</w:t>
            </w:r>
            <w:r>
              <w:rPr>
                <w:b/>
              </w:rPr>
              <w:t>7</w:t>
            </w:r>
            <w:r>
              <w:rPr>
                <w:b/>
              </w:rPr>
              <w:t>_</w:t>
            </w:r>
            <w:r>
              <w:rPr>
                <w:b/>
              </w:rPr>
              <w:t>11</w:t>
            </w:r>
            <w:r>
              <w:rPr>
                <w:b/>
              </w:rPr>
              <w:t>_</w:t>
            </w:r>
            <w:r>
              <w:rPr>
                <w:b/>
              </w:rPr>
              <w:t>08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t>Modified Emission Accounting equations in the full version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t>Modified Emission A</w:t>
            </w:r>
            <w:r>
              <w:rPr>
                <w:sz w:val="20"/>
              </w:rPr>
              <w:t>ccounting equations in the short version</w:t>
            </w:r>
            <w:bookmarkStart w:id="0" w:name="_GoBack"/>
            <w:bookmarkEnd w:id="0"/>
          </w:p>
          <w:p w:rsidR="001C4FF7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t>Fixed bugs in: Storage Constraints, Salvage Value, RE Production Target and Objective function equations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Flexible Demand</w:t>
            </w:r>
          </w:p>
        </w:tc>
      </w:tr>
      <w:tr w:rsidR="001C4FF7" w:rsidTr="00806A25">
        <w:trPr>
          <w:trHeight w:val="1210"/>
        </w:trPr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rPr>
                <w:b/>
              </w:rPr>
            </w:pP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Demands</w:t>
            </w:r>
          </w:p>
        </w:tc>
      </w:tr>
      <w:tr w:rsidR="001C4FF7" w:rsidTr="00564405">
        <w:trPr>
          <w:trHeight w:val="1210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 xml:space="preserve">OSeMOSYS_2016_08_01/ </w:t>
            </w:r>
          </w:p>
          <w:p w:rsidR="001C4FF7" w:rsidRDefault="001C4FF7" w:rsidP="001C4FF7">
            <w:pPr>
              <w:jc w:val="both"/>
            </w:pPr>
            <w:r>
              <w:rPr>
                <w:b/>
              </w:rPr>
              <w:t xml:space="preserve">OSeMOSYS_2016_08_01_short </w:t>
            </w:r>
          </w:p>
          <w:p w:rsidR="001C4FF7" w:rsidRDefault="001C4FF7" w:rsidP="001C4FF7"/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>1 August, 2016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>UTOPIA_2016_08_01</w:t>
            </w:r>
          </w:p>
          <w:p w:rsidR="001C4FF7" w:rsidRDefault="001C4FF7" w:rsidP="001C4FF7">
            <w:pPr>
              <w:rPr>
                <w:b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t>Corrected bugs in storage equations of the short version</w:t>
            </w:r>
          </w:p>
          <w:p w:rsidR="001C4FF7" w:rsidRPr="00564405" w:rsidRDefault="001C4FF7" w:rsidP="001C4FF7">
            <w:pPr>
              <w:pStyle w:val="ListParagraph"/>
              <w:numPr>
                <w:ilvl w:val="0"/>
                <w:numId w:val="9"/>
              </w:numPr>
              <w:spacing w:after="1" w:line="241" w:lineRule="auto"/>
              <w:ind w:right="20"/>
              <w:rPr>
                <w:sz w:val="20"/>
              </w:rPr>
            </w:pPr>
            <w:r>
              <w:rPr>
                <w:sz w:val="20"/>
              </w:rPr>
              <w:t>Improved representation of the minimum renewable generation target: p</w:t>
            </w:r>
            <w:r w:rsidRPr="00564405">
              <w:rPr>
                <w:sz w:val="20"/>
              </w:rPr>
              <w:t xml:space="preserve">arameter </w:t>
            </w:r>
            <w:proofErr w:type="spellStart"/>
            <w:r w:rsidRPr="00564405">
              <w:rPr>
                <w:sz w:val="20"/>
              </w:rPr>
              <w:t>REMinProductionTarget</w:t>
            </w:r>
            <w:proofErr w:type="spellEnd"/>
            <w:r w:rsidRPr="00564405">
              <w:rPr>
                <w:sz w:val="20"/>
              </w:rPr>
              <w:t xml:space="preserve"> is no more indicated by the user as a percentage of the</w:t>
            </w:r>
          </w:p>
          <w:p w:rsidR="001C4FF7" w:rsidRPr="00564405" w:rsidRDefault="001C4FF7" w:rsidP="001C4FF7">
            <w:pPr>
              <w:pStyle w:val="ListParagraph"/>
              <w:spacing w:after="1" w:line="241" w:lineRule="auto"/>
              <w:ind w:left="360" w:right="20"/>
              <w:rPr>
                <w:sz w:val="20"/>
              </w:rPr>
            </w:pPr>
            <w:r w:rsidRPr="00564405">
              <w:rPr>
                <w:sz w:val="20"/>
              </w:rPr>
              <w:t>demand for a given fuel f, but as a percentage of the production of a given fuel f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Flexible Demand</w:t>
            </w:r>
          </w:p>
        </w:tc>
      </w:tr>
      <w:tr w:rsidR="001C4FF7" w:rsidTr="00D713CD">
        <w:trPr>
          <w:trHeight w:val="1210"/>
        </w:trPr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rPr>
                <w:b/>
              </w:rPr>
            </w:pP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spacing w:after="1" w:line="241" w:lineRule="auto"/>
              <w:ind w:left="1" w:right="2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Demands</w:t>
            </w:r>
          </w:p>
        </w:tc>
      </w:tr>
      <w:tr w:rsidR="001C4FF7" w:rsidTr="007C5D37">
        <w:trPr>
          <w:trHeight w:val="1084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 xml:space="preserve">OSeMOSYS_2015_08_27/ </w:t>
            </w:r>
          </w:p>
          <w:p w:rsidR="001C4FF7" w:rsidRDefault="001C4FF7" w:rsidP="001C4FF7">
            <w:pPr>
              <w:jc w:val="both"/>
            </w:pPr>
            <w:r>
              <w:rPr>
                <w:b/>
              </w:rPr>
              <w:t xml:space="preserve">OSeMOSYS_2015_08_27_short </w:t>
            </w:r>
          </w:p>
          <w:p w:rsidR="001C4FF7" w:rsidRDefault="001C4FF7" w:rsidP="001C4FF7"/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>24 August, 2015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>UTOPIA_2015_08_27</w:t>
            </w:r>
          </w:p>
          <w:p w:rsidR="001C4FF7" w:rsidRDefault="001C4FF7" w:rsidP="001C4FF7">
            <w:pPr>
              <w:rPr>
                <w:b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FF7" w:rsidRPr="00F031F8" w:rsidRDefault="001C4FF7" w:rsidP="001C4FF7">
            <w:pPr>
              <w:pStyle w:val="ListParagraph"/>
              <w:numPr>
                <w:ilvl w:val="0"/>
                <w:numId w:val="5"/>
              </w:numPr>
              <w:spacing w:after="1" w:line="241" w:lineRule="auto"/>
              <w:ind w:right="20"/>
              <w:rPr>
                <w:sz w:val="20"/>
              </w:rPr>
            </w:pPr>
            <w:r w:rsidRPr="00F031F8">
              <w:rPr>
                <w:sz w:val="20"/>
              </w:rPr>
              <w:t xml:space="preserve">Removed the parameter </w:t>
            </w:r>
            <w:proofErr w:type="spellStart"/>
            <w:r w:rsidRPr="00F031F8">
              <w:rPr>
                <w:sz w:val="20"/>
              </w:rPr>
              <w:t>TechWithCapacityNeededToMeetPeakTS</w:t>
            </w:r>
            <w:proofErr w:type="spellEnd"/>
            <w:r w:rsidRPr="00F031F8">
              <w:rPr>
                <w:sz w:val="20"/>
              </w:rPr>
              <w:t xml:space="preserve"> from constraint CAa4_Constraint_Capacity</w:t>
            </w:r>
          </w:p>
          <w:p w:rsidR="001C4FF7" w:rsidRPr="00F031F8" w:rsidRDefault="001C4FF7" w:rsidP="001C4FF7">
            <w:pPr>
              <w:pStyle w:val="ListParagraph"/>
              <w:numPr>
                <w:ilvl w:val="0"/>
                <w:numId w:val="5"/>
              </w:numPr>
              <w:spacing w:after="1" w:line="241" w:lineRule="auto"/>
              <w:ind w:right="20"/>
              <w:rPr>
                <w:sz w:val="20"/>
              </w:rPr>
            </w:pPr>
            <w:r w:rsidRPr="00F031F8">
              <w:rPr>
                <w:sz w:val="20"/>
              </w:rPr>
              <w:t xml:space="preserve">Fixed a bug related to using </w:t>
            </w:r>
            <w:proofErr w:type="spellStart"/>
            <w:r w:rsidRPr="00F031F8">
              <w:rPr>
                <w:sz w:val="20"/>
              </w:rPr>
              <w:t>CapacityOfOneTechnologyUnit</w:t>
            </w:r>
            <w:proofErr w:type="spellEnd"/>
            <w:r w:rsidRPr="00F031F8">
              <w:rPr>
                <w:sz w:val="20"/>
              </w:rPr>
              <w:t xml:space="preserve"> in constraint CAa5_TotalNewCapacity</w:t>
            </w:r>
          </w:p>
          <w:p w:rsidR="001C4FF7" w:rsidRPr="00F031F8" w:rsidRDefault="001C4FF7" w:rsidP="001C4FF7">
            <w:pPr>
              <w:pStyle w:val="ListParagraph"/>
              <w:numPr>
                <w:ilvl w:val="0"/>
                <w:numId w:val="5"/>
              </w:numPr>
              <w:spacing w:after="1" w:line="241" w:lineRule="auto"/>
              <w:ind w:right="20"/>
              <w:rPr>
                <w:sz w:val="20"/>
              </w:rPr>
            </w:pPr>
            <w:r w:rsidRPr="00F031F8">
              <w:rPr>
                <w:sz w:val="20"/>
              </w:rPr>
              <w:t xml:space="preserve">Fixed a bug in the storage equations which caused an error if more than </w:t>
            </w:r>
            <w:proofErr w:type="gramStart"/>
            <w:r w:rsidRPr="00F031F8">
              <w:rPr>
                <w:sz w:val="20"/>
              </w:rPr>
              <w:t>one day</w:t>
            </w:r>
            <w:proofErr w:type="gramEnd"/>
            <w:r w:rsidRPr="00F031F8">
              <w:rPr>
                <w:sz w:val="20"/>
              </w:rPr>
              <w:t xml:space="preserve"> type was used</w:t>
            </w:r>
          </w:p>
          <w:p w:rsidR="001C4FF7" w:rsidRPr="00F031F8" w:rsidRDefault="001C4FF7" w:rsidP="001C4FF7">
            <w:pPr>
              <w:pStyle w:val="ListParagraph"/>
              <w:numPr>
                <w:ilvl w:val="0"/>
                <w:numId w:val="5"/>
              </w:numPr>
              <w:spacing w:after="1" w:line="241" w:lineRule="auto"/>
              <w:ind w:right="20"/>
              <w:rPr>
                <w:sz w:val="20"/>
              </w:rPr>
            </w:pPr>
            <w:proofErr w:type="spellStart"/>
            <w:r w:rsidRPr="00F031F8">
              <w:rPr>
                <w:sz w:val="20"/>
              </w:rPr>
              <w:t>DiscountRate</w:t>
            </w:r>
            <w:proofErr w:type="spellEnd"/>
            <w:r w:rsidRPr="00F031F8">
              <w:rPr>
                <w:sz w:val="20"/>
              </w:rPr>
              <w:t xml:space="preserve"> no longer technology-specific. </w:t>
            </w:r>
            <w:proofErr w:type="spellStart"/>
            <w:r w:rsidRPr="00F031F8">
              <w:rPr>
                <w:sz w:val="20"/>
              </w:rPr>
              <w:t>DiscountRateStorage</w:t>
            </w:r>
            <w:proofErr w:type="spellEnd"/>
            <w:r w:rsidRPr="00F031F8">
              <w:rPr>
                <w:sz w:val="20"/>
              </w:rPr>
              <w:t xml:space="preserve"> replaced by </w:t>
            </w:r>
            <w:proofErr w:type="spellStart"/>
            <w:r w:rsidRPr="00F031F8">
              <w:rPr>
                <w:sz w:val="20"/>
              </w:rPr>
              <w:t>DiscountRate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 w:rsidTr="007C5D37">
        <w:trPr>
          <w:trHeight w:val="1084"/>
        </w:trPr>
        <w:tc>
          <w:tcPr>
            <w:tcW w:w="3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rPr>
                <w:b/>
              </w:rPr>
            </w:pPr>
          </w:p>
        </w:tc>
        <w:tc>
          <w:tcPr>
            <w:tcW w:w="4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numPr>
                <w:ilvl w:val="0"/>
                <w:numId w:val="1"/>
              </w:numPr>
              <w:spacing w:after="1" w:line="241" w:lineRule="auto"/>
              <w:ind w:right="20"/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1084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>OSeMOSYS_2013_05_10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/ </w:t>
            </w:r>
          </w:p>
          <w:p w:rsidR="001C4FF7" w:rsidRDefault="001C4FF7" w:rsidP="001C4FF7">
            <w:pPr>
              <w:jc w:val="both"/>
            </w:pPr>
            <w:r>
              <w:rPr>
                <w:b/>
              </w:rPr>
              <w:t xml:space="preserve">OSeMOSYS_2013_05_10_short </w:t>
            </w:r>
          </w:p>
          <w:p w:rsidR="001C4FF7" w:rsidRDefault="001C4FF7" w:rsidP="001C4FF7"/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 xml:space="preserve">10 May, 2013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 xml:space="preserve">UTOPIA_2013_05_10 </w:t>
            </w:r>
          </w:p>
          <w:p w:rsidR="001C4FF7" w:rsidRDefault="001C4FF7" w:rsidP="001C4FF7">
            <w:r>
              <w:t xml:space="preserve"> 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1"/>
              </w:numPr>
              <w:spacing w:after="1" w:line="241" w:lineRule="auto"/>
              <w:ind w:left="322" w:right="20" w:hanging="322"/>
            </w:pPr>
            <w:r w:rsidRPr="00F031F8">
              <w:rPr>
                <w:sz w:val="20"/>
              </w:rPr>
              <w:t xml:space="preserve">Re-ordered the arguments of parameters, variables and constraints to be compatible for use with the ANSWER interface which is currently being developed by Noble-Soft Systems Pty Ltd. 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1"/>
              </w:numPr>
              <w:ind w:left="322" w:right="20" w:hanging="322"/>
            </w:pPr>
            <w:r w:rsidRPr="00F031F8">
              <w:rPr>
                <w:sz w:val="20"/>
              </w:rPr>
              <w:t xml:space="preserve">Significantly reduced the total number of equations by integrating them into the existing inequalities. This eliminates the need to calculate and store intermediate values.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108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lastRenderedPageBreak/>
              <w:t xml:space="preserve">OSeMOSYS_2013_04_30 </w:t>
            </w:r>
          </w:p>
          <w:p w:rsidR="001C4FF7" w:rsidRDefault="001C4FF7" w:rsidP="001C4FF7">
            <w:r>
              <w:rPr>
                <w:b/>
              </w:rPr>
              <w:t xml:space="preserve"> </w:t>
            </w:r>
          </w:p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 xml:space="preserve">30 April, 2013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 xml:space="preserve">UTOPIA_2013_04_30 </w:t>
            </w:r>
          </w:p>
          <w:p w:rsidR="001C4FF7" w:rsidRDefault="001C4FF7" w:rsidP="001C4FF7">
            <w:r>
              <w:t xml:space="preserve"> 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6"/>
              </w:numPr>
              <w:spacing w:after="1" w:line="241" w:lineRule="auto"/>
            </w:pPr>
            <w:r w:rsidRPr="00F031F8">
              <w:rPr>
                <w:sz w:val="20"/>
              </w:rPr>
              <w:t>A bug was fixed which occurred if concrete blocks of capacity were to be considered, i.e., if the parameter ‘</w:t>
            </w:r>
            <w:proofErr w:type="spellStart"/>
            <w:r w:rsidRPr="00F031F8">
              <w:rPr>
                <w:sz w:val="20"/>
              </w:rPr>
              <w:t>CapacityOfOneTechnologyUnit</w:t>
            </w:r>
            <w:proofErr w:type="spellEnd"/>
            <w:r w:rsidRPr="00F031F8">
              <w:rPr>
                <w:sz w:val="20"/>
              </w:rPr>
              <w:t>’ was chosen to be unequal to zero. In this case the ‘</w:t>
            </w:r>
            <w:proofErr w:type="spellStart"/>
            <w:r w:rsidRPr="00F031F8">
              <w:rPr>
                <w:sz w:val="20"/>
              </w:rPr>
              <w:t>NewCapacity</w:t>
            </w:r>
            <w:proofErr w:type="spellEnd"/>
            <w:r w:rsidRPr="00F031F8">
              <w:rPr>
                <w:sz w:val="20"/>
              </w:rPr>
              <w:t>’ variable was left undefined. The derived variable ‘</w:t>
            </w:r>
            <w:proofErr w:type="spellStart"/>
            <w:r w:rsidRPr="00F031F8">
              <w:rPr>
                <w:sz w:val="20"/>
              </w:rPr>
              <w:t>CapitalInvestment</w:t>
            </w:r>
            <w:proofErr w:type="spellEnd"/>
            <w:r w:rsidRPr="00F031F8">
              <w:rPr>
                <w:sz w:val="20"/>
              </w:rPr>
              <w:t>’ was ther</w:t>
            </w:r>
            <w:r>
              <w:rPr>
                <w:sz w:val="20"/>
              </w:rPr>
              <w:t>efore not calculated correctly.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1138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 xml:space="preserve">OSeMOSYS_2013_03_14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 xml:space="preserve">14 March, 2013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 xml:space="preserve">UTOPIA_2013_03_14 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6"/>
              </w:numPr>
              <w:spacing w:line="242" w:lineRule="auto"/>
            </w:pPr>
            <w:r w:rsidRPr="00F031F8">
              <w:rPr>
                <w:sz w:val="20"/>
              </w:rPr>
              <w:t xml:space="preserve">Introduced the option to choose between sinking fund and straight line depreciation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6"/>
              </w:numPr>
              <w:spacing w:line="242" w:lineRule="auto"/>
            </w:pPr>
            <w:r w:rsidRPr="00F031F8">
              <w:rPr>
                <w:sz w:val="20"/>
              </w:rPr>
              <w:t>Removed parameter ‘</w:t>
            </w:r>
            <w:proofErr w:type="spellStart"/>
            <w:r w:rsidRPr="00F031F8">
              <w:rPr>
                <w:sz w:val="20"/>
              </w:rPr>
              <w:t>SalvageFactor</w:t>
            </w:r>
            <w:proofErr w:type="spellEnd"/>
            <w:r w:rsidRPr="00F031F8">
              <w:rPr>
                <w:sz w:val="20"/>
              </w:rPr>
              <w:t xml:space="preserve">’, which was not used by the model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6"/>
              </w:numPr>
              <w:spacing w:after="2"/>
            </w:pPr>
            <w:r w:rsidRPr="00F031F8">
              <w:rPr>
                <w:sz w:val="20"/>
              </w:rPr>
              <w:t xml:space="preserve">Fixed a bug in the storage equations which caused an error if more than </w:t>
            </w:r>
            <w:proofErr w:type="gramStart"/>
            <w:r w:rsidRPr="00F031F8">
              <w:rPr>
                <w:sz w:val="20"/>
              </w:rPr>
              <w:t>one day</w:t>
            </w:r>
            <w:proofErr w:type="gramEnd"/>
            <w:r w:rsidRPr="00F031F8">
              <w:rPr>
                <w:sz w:val="20"/>
              </w:rPr>
              <w:t xml:space="preserve"> type was used </w:t>
            </w:r>
          </w:p>
          <w:p w:rsidR="001C4FF7" w:rsidRDefault="001C4FF7" w:rsidP="001C4FF7">
            <w:pPr>
              <w:ind w:left="1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622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jc w:val="both"/>
            </w:pPr>
            <w:r>
              <w:rPr>
                <w:b/>
              </w:rPr>
              <w:t xml:space="preserve">OSeMOSYS_2012_06_01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Published: </w:t>
            </w:r>
          </w:p>
          <w:p w:rsidR="001C4FF7" w:rsidRDefault="001C4FF7" w:rsidP="001C4FF7">
            <w:r>
              <w:rPr>
                <w:b/>
              </w:rPr>
              <w:t xml:space="preserve">01 June, 2012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Example Data file: </w:t>
            </w:r>
          </w:p>
          <w:p w:rsidR="001C4FF7" w:rsidRDefault="001C4FF7" w:rsidP="001C4FF7">
            <w:r>
              <w:rPr>
                <w:b/>
              </w:rPr>
              <w:t xml:space="preserve">UTOPIA_2012_06_01 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left="1"/>
            </w:pPr>
            <w:r>
              <w:rPr>
                <w:sz w:val="20"/>
              </w:rPr>
              <w:t xml:space="preserve">Introduced: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7"/>
              </w:numPr>
            </w:pPr>
            <w:r w:rsidRPr="00F031F8">
              <w:rPr>
                <w:sz w:val="20"/>
              </w:rPr>
              <w:t xml:space="preserve">Trade between regions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7"/>
              </w:numPr>
              <w:spacing w:line="242" w:lineRule="auto"/>
            </w:pPr>
            <w:r w:rsidRPr="00F031F8">
              <w:rPr>
                <w:sz w:val="20"/>
              </w:rPr>
              <w:t xml:space="preserve">Technology additions in predefined blocks of capacity 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7"/>
              </w:numPr>
            </w:pPr>
            <w:r w:rsidRPr="00F031F8">
              <w:rPr>
                <w:sz w:val="20"/>
              </w:rPr>
              <w:t xml:space="preserve">Variability in generation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7"/>
              </w:numPr>
            </w:pPr>
            <w:r w:rsidRPr="00F031F8">
              <w:rPr>
                <w:sz w:val="20"/>
              </w:rPr>
              <w:t xml:space="preserve">Improved storage </w:t>
            </w:r>
            <w:proofErr w:type="spellStart"/>
            <w:r w:rsidRPr="00F031F8">
              <w:rPr>
                <w:sz w:val="20"/>
              </w:rPr>
              <w:t>modeling</w:t>
            </w:r>
            <w:proofErr w:type="spellEnd"/>
            <w:r w:rsidRPr="00F031F8">
              <w:rPr>
                <w:sz w:val="20"/>
              </w:rPr>
              <w:t xml:space="preserve"> </w:t>
            </w:r>
          </w:p>
          <w:p w:rsidR="001C4FF7" w:rsidRDefault="001C4FF7" w:rsidP="001C4FF7">
            <w:pPr>
              <w:ind w:left="1"/>
            </w:pPr>
            <w:r>
              <w:rPr>
                <w:sz w:val="20"/>
              </w:rPr>
              <w:t xml:space="preserve">Reduced number of equations created, removed obsolete parameter definitions and changed file extensions for better use with GUSEK.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jc w:val="center"/>
            </w:pPr>
            <w:r>
              <w:rPr>
                <w:sz w:val="20"/>
              </w:rPr>
              <w:t xml:space="preserve">Variability in generation (Added to core code) </w:t>
            </w:r>
          </w:p>
        </w:tc>
      </w:tr>
      <w:tr w:rsidR="001C4FF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left="173" w:right="199"/>
              <w:jc w:val="center"/>
            </w:pPr>
            <w:r>
              <w:rPr>
                <w:sz w:val="20"/>
              </w:rPr>
              <w:t xml:space="preserve">Storage (Added to core code) </w:t>
            </w:r>
          </w:p>
        </w:tc>
      </w:tr>
      <w:tr w:rsidR="001C4FF7">
        <w:trPr>
          <w:trHeight w:val="48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 xml:space="preserve">OSeMOSYS_2011_11_08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Published:  </w:t>
            </w:r>
          </w:p>
          <w:p w:rsidR="001C4FF7" w:rsidRDefault="001C4FF7" w:rsidP="001C4FF7">
            <w:r>
              <w:rPr>
                <w:b/>
              </w:rPr>
              <w:t xml:space="preserve">08 November, 2011 </w:t>
            </w:r>
          </w:p>
          <w:p w:rsidR="001C4FF7" w:rsidRDefault="001C4FF7" w:rsidP="001C4FF7">
            <w: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 xml:space="preserve">UTOPIA_2011_11_08 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8"/>
              </w:numPr>
            </w:pPr>
            <w:r w:rsidRPr="00F031F8">
              <w:rPr>
                <w:sz w:val="20"/>
              </w:rPr>
              <w:t xml:space="preserve">Minor bug fixes and cosmetic changes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>
            <w:pPr>
              <w:ind w:right="23"/>
              <w:jc w:val="center"/>
            </w:pPr>
            <w:r>
              <w:rPr>
                <w:sz w:val="20"/>
              </w:rPr>
              <w:t xml:space="preserve">Flexible Demand </w:t>
            </w:r>
          </w:p>
        </w:tc>
      </w:tr>
      <w:tr w:rsidR="001C4FF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right="19"/>
              <w:jc w:val="center"/>
            </w:pPr>
            <w:r>
              <w:rPr>
                <w:sz w:val="20"/>
              </w:rPr>
              <w:t xml:space="preserve">Prioritisation of </w:t>
            </w:r>
          </w:p>
          <w:p w:rsidR="001C4FF7" w:rsidRDefault="001C4FF7" w:rsidP="001C4FF7">
            <w:pPr>
              <w:ind w:right="21"/>
              <w:jc w:val="center"/>
            </w:pPr>
            <w:r>
              <w:rPr>
                <w:sz w:val="20"/>
              </w:rPr>
              <w:t xml:space="preserve">Demands </w:t>
            </w:r>
          </w:p>
        </w:tc>
      </w:tr>
      <w:tr w:rsidR="001C4FF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right="25"/>
              <w:jc w:val="center"/>
            </w:pPr>
            <w:r>
              <w:rPr>
                <w:sz w:val="20"/>
              </w:rPr>
              <w:t xml:space="preserve">Variability in generation </w:t>
            </w:r>
          </w:p>
          <w:p w:rsidR="001C4FF7" w:rsidRDefault="001C4FF7" w:rsidP="001C4FF7">
            <w:pPr>
              <w:ind w:left="2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C4FF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F7" w:rsidRDefault="001C4FF7" w:rsidP="001C4F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FF7" w:rsidRDefault="001C4FF7" w:rsidP="001C4FF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right="24"/>
              <w:jc w:val="center"/>
            </w:pPr>
            <w:r>
              <w:rPr>
                <w:sz w:val="20"/>
              </w:rPr>
              <w:t xml:space="preserve">Storage </w:t>
            </w:r>
          </w:p>
          <w:p w:rsidR="001C4FF7" w:rsidRDefault="001C4FF7" w:rsidP="001C4FF7">
            <w:pPr>
              <w:ind w:left="2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C4FF7">
        <w:trPr>
          <w:trHeight w:val="5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b/>
              </w:rPr>
              <w:t xml:space="preserve">OSeMOSYS_2011_07_07 </w:t>
            </w:r>
          </w:p>
          <w:p w:rsidR="001C4FF7" w:rsidRDefault="001C4FF7" w:rsidP="001C4FF7"/>
          <w:p w:rsidR="001C4FF7" w:rsidRDefault="001C4FF7" w:rsidP="001C4FF7">
            <w:r>
              <w:t xml:space="preserve">Published:  </w:t>
            </w:r>
          </w:p>
          <w:p w:rsidR="001C4FF7" w:rsidRDefault="001C4FF7" w:rsidP="001C4FF7">
            <w:r>
              <w:rPr>
                <w:b/>
              </w:rPr>
              <w:t xml:space="preserve">07 July, 2011 </w:t>
            </w:r>
          </w:p>
          <w:p w:rsidR="001C4FF7" w:rsidRDefault="001C4FF7" w:rsidP="001C4FF7">
            <w:r>
              <w:rPr>
                <w:b/>
              </w:rPr>
              <w:t xml:space="preserve"> </w:t>
            </w:r>
          </w:p>
          <w:p w:rsidR="001C4FF7" w:rsidRDefault="001C4FF7" w:rsidP="001C4FF7">
            <w:r>
              <w:t xml:space="preserve">Sample Data file: </w:t>
            </w:r>
          </w:p>
          <w:p w:rsidR="001C4FF7" w:rsidRDefault="001C4FF7" w:rsidP="001C4FF7">
            <w:r>
              <w:rPr>
                <w:b/>
              </w:rPr>
              <w:t>UTOPIA_2011_07_07.txt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pStyle w:val="ListParagraph"/>
              <w:numPr>
                <w:ilvl w:val="0"/>
                <w:numId w:val="8"/>
              </w:numPr>
            </w:pPr>
            <w:r w:rsidRPr="00F031F8">
              <w:rPr>
                <w:sz w:val="20"/>
              </w:rPr>
              <w:t>Removed the need to include the parameter ‘</w:t>
            </w:r>
            <w:proofErr w:type="spellStart"/>
            <w:r w:rsidRPr="00F031F8">
              <w:rPr>
                <w:sz w:val="20"/>
              </w:rPr>
              <w:t>StartYear</w:t>
            </w:r>
            <w:proofErr w:type="spellEnd"/>
            <w:r w:rsidRPr="00F031F8">
              <w:rPr>
                <w:sz w:val="20"/>
              </w:rPr>
              <w:t xml:space="preserve">’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8"/>
              </w:numPr>
            </w:pPr>
            <w:r w:rsidRPr="00F031F8">
              <w:rPr>
                <w:sz w:val="20"/>
              </w:rPr>
              <w:t xml:space="preserve">Emissions discounting is introduced </w:t>
            </w:r>
          </w:p>
          <w:p w:rsidR="001C4FF7" w:rsidRDefault="001C4FF7" w:rsidP="001C4FF7">
            <w:pPr>
              <w:pStyle w:val="ListParagraph"/>
              <w:numPr>
                <w:ilvl w:val="0"/>
                <w:numId w:val="8"/>
              </w:numPr>
            </w:pPr>
            <w:r w:rsidRPr="00F031F8">
              <w:rPr>
                <w:sz w:val="20"/>
              </w:rPr>
              <w:t>Removed a bug in the salvage value calculation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1C4FF7">
        <w:trPr>
          <w:trHeight w:val="5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right="26"/>
            </w:pPr>
            <w:r>
              <w:rPr>
                <w:b/>
              </w:rPr>
              <w:t xml:space="preserve">OSeMOSYS_2011_01_01 </w:t>
            </w:r>
          </w:p>
          <w:p w:rsidR="001C4FF7" w:rsidRDefault="001C4FF7" w:rsidP="001C4FF7">
            <w:pPr>
              <w:ind w:left="26"/>
              <w:jc w:val="center"/>
            </w:pPr>
            <w:r>
              <w:rPr>
                <w:b/>
              </w:rPr>
              <w:t xml:space="preserve"> </w:t>
            </w:r>
          </w:p>
          <w:p w:rsidR="001C4FF7" w:rsidRDefault="001C4FF7" w:rsidP="001C4FF7">
            <w:r>
              <w:t xml:space="preserve">Published:  </w:t>
            </w:r>
          </w:p>
          <w:p w:rsidR="001C4FF7" w:rsidRDefault="001C4FF7" w:rsidP="001C4FF7">
            <w:r>
              <w:rPr>
                <w:b/>
              </w:rPr>
              <w:t xml:space="preserve">15 June, 2011 </w:t>
            </w:r>
          </w:p>
          <w:p w:rsidR="001C4FF7" w:rsidRDefault="001C4FF7" w:rsidP="001C4FF7">
            <w:r>
              <w:rPr>
                <w:b/>
              </w:rPr>
              <w:t xml:space="preserve"> </w:t>
            </w:r>
          </w:p>
          <w:p w:rsidR="001C4FF7" w:rsidRDefault="001C4FF7" w:rsidP="001C4FF7">
            <w:pPr>
              <w:ind w:right="296"/>
            </w:pPr>
            <w:r>
              <w:lastRenderedPageBreak/>
              <w:t xml:space="preserve">Sample Data file: </w:t>
            </w:r>
            <w:r>
              <w:rPr>
                <w:b/>
              </w:rPr>
              <w:t>UTOPIA.txt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r>
              <w:rPr>
                <w:sz w:val="20"/>
              </w:rPr>
              <w:lastRenderedPageBreak/>
              <w:t xml:space="preserve">First openly accessible version, as documented in  </w:t>
            </w:r>
          </w:p>
          <w:p w:rsidR="001C4FF7" w:rsidRDefault="001C4FF7" w:rsidP="001C4FF7">
            <w:r>
              <w:rPr>
                <w:sz w:val="20"/>
              </w:rPr>
              <w:t xml:space="preserve">“OSeMOSYS: The Open Source Energy </w:t>
            </w:r>
            <w:proofErr w:type="spellStart"/>
            <w:r>
              <w:rPr>
                <w:sz w:val="20"/>
              </w:rPr>
              <w:t>Modeling</w:t>
            </w:r>
            <w:proofErr w:type="spellEnd"/>
            <w:r>
              <w:rPr>
                <w:sz w:val="20"/>
              </w:rPr>
              <w:t xml:space="preserve"> </w:t>
            </w:r>
          </w:p>
          <w:p w:rsidR="001C4FF7" w:rsidRDefault="001C4FF7" w:rsidP="001C4FF7">
            <w:pPr>
              <w:spacing w:after="2" w:line="239" w:lineRule="auto"/>
            </w:pPr>
            <w:r>
              <w:rPr>
                <w:sz w:val="20"/>
              </w:rPr>
              <w:t xml:space="preserve">System - An introduction to its ethos, structure and development" </w:t>
            </w:r>
          </w:p>
          <w:p w:rsidR="001C4FF7" w:rsidRDefault="001C4FF7" w:rsidP="001C4FF7">
            <w:pPr>
              <w:ind w:left="22"/>
              <w:jc w:val="center"/>
            </w:pPr>
            <w:r>
              <w:rPr>
                <w:sz w:val="20"/>
              </w:rPr>
              <w:t xml:space="preserve"> </w:t>
            </w:r>
          </w:p>
          <w:p w:rsidR="001C4FF7" w:rsidRDefault="001C4FF7" w:rsidP="001C4FF7">
            <w:pPr>
              <w:ind w:left="22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F7" w:rsidRDefault="001C4FF7" w:rsidP="001C4FF7">
            <w:pPr>
              <w:ind w:left="24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F42760" w:rsidRDefault="009A3BAC">
      <w:pPr>
        <w:spacing w:after="0"/>
        <w:jc w:val="both"/>
      </w:pPr>
      <w:r>
        <w:lastRenderedPageBreak/>
        <w:t xml:space="preserve"> </w:t>
      </w:r>
    </w:p>
    <w:sectPr w:rsidR="00F42760">
      <w:footnotePr>
        <w:numRestart w:val="eachPage"/>
      </w:footnotePr>
      <w:pgSz w:w="12240" w:h="15840"/>
      <w:pgMar w:top="1421" w:right="2817" w:bottom="141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EC" w:rsidRDefault="004119EC">
      <w:pPr>
        <w:spacing w:after="0" w:line="240" w:lineRule="auto"/>
      </w:pPr>
      <w:r>
        <w:separator/>
      </w:r>
    </w:p>
  </w:endnote>
  <w:endnote w:type="continuationSeparator" w:id="0">
    <w:p w:rsidR="004119EC" w:rsidRDefault="0041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EC" w:rsidRDefault="004119EC">
      <w:pPr>
        <w:spacing w:after="0"/>
        <w:jc w:val="both"/>
      </w:pPr>
      <w:r>
        <w:separator/>
      </w:r>
    </w:p>
  </w:footnote>
  <w:footnote w:type="continuationSeparator" w:id="0">
    <w:p w:rsidR="004119EC" w:rsidRDefault="004119EC">
      <w:pPr>
        <w:spacing w:after="0"/>
        <w:jc w:val="both"/>
      </w:pPr>
      <w:r>
        <w:continuationSeparator/>
      </w:r>
    </w:p>
  </w:footnote>
  <w:footnote w:id="1">
    <w:p w:rsidR="001C4FF7" w:rsidRDefault="001C4FF7">
      <w:pPr>
        <w:pStyle w:val="footnotedescription"/>
      </w:pPr>
      <w:r>
        <w:rPr>
          <w:rStyle w:val="footnotemark"/>
        </w:rPr>
        <w:footnoteRef/>
      </w:r>
      <w:r>
        <w:t xml:space="preserve"> Henceforth, this reordered indexing will be applied to all future versions of the OSeMOSYS model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EF5"/>
    <w:multiLevelType w:val="hybridMultilevel"/>
    <w:tmpl w:val="854AE3A4"/>
    <w:lvl w:ilvl="0" w:tplc="808E63E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76A9C"/>
    <w:multiLevelType w:val="hybridMultilevel"/>
    <w:tmpl w:val="88129808"/>
    <w:lvl w:ilvl="0" w:tplc="808E63E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44712"/>
    <w:multiLevelType w:val="hybridMultilevel"/>
    <w:tmpl w:val="CF581296"/>
    <w:lvl w:ilvl="0" w:tplc="808E63E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A63E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89F9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A94B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092D6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64BF2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729BE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85C0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E765E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95BA7"/>
    <w:multiLevelType w:val="hybridMultilevel"/>
    <w:tmpl w:val="AF003046"/>
    <w:lvl w:ilvl="0" w:tplc="808E63E6">
      <w:start w:val="1"/>
      <w:numFmt w:val="bullet"/>
      <w:lvlText w:val="-"/>
      <w:lvlJc w:val="left"/>
      <w:pPr>
        <w:ind w:left="36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8194427"/>
    <w:multiLevelType w:val="hybridMultilevel"/>
    <w:tmpl w:val="7A0ECC98"/>
    <w:lvl w:ilvl="0" w:tplc="808E63E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762B1"/>
    <w:multiLevelType w:val="hybridMultilevel"/>
    <w:tmpl w:val="C30E7ED4"/>
    <w:lvl w:ilvl="0" w:tplc="0B44ACE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E624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0814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A42D4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88C6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A816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ACC4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E8472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6D91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F0D12"/>
    <w:multiLevelType w:val="hybridMultilevel"/>
    <w:tmpl w:val="3D74E0F8"/>
    <w:lvl w:ilvl="0" w:tplc="0AEC4C12">
      <w:start w:val="1"/>
      <w:numFmt w:val="bullet"/>
      <w:lvlText w:val="-"/>
      <w:lvlJc w:val="left"/>
      <w:pPr>
        <w:ind w:left="-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2405C">
      <w:start w:val="1"/>
      <w:numFmt w:val="bullet"/>
      <w:lvlText w:val="o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85E2C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E24C4">
      <w:start w:val="1"/>
      <w:numFmt w:val="bullet"/>
      <w:lvlText w:val="•"/>
      <w:lvlJc w:val="left"/>
      <w:pPr>
        <w:ind w:left="1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C3A18">
      <w:start w:val="1"/>
      <w:numFmt w:val="bullet"/>
      <w:lvlText w:val="o"/>
      <w:lvlJc w:val="left"/>
      <w:pPr>
        <w:ind w:left="2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0A54C">
      <w:start w:val="1"/>
      <w:numFmt w:val="bullet"/>
      <w:lvlText w:val="▪"/>
      <w:lvlJc w:val="left"/>
      <w:pPr>
        <w:ind w:left="3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8C23E">
      <w:start w:val="1"/>
      <w:numFmt w:val="bullet"/>
      <w:lvlText w:val="•"/>
      <w:lvlJc w:val="left"/>
      <w:pPr>
        <w:ind w:left="3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A7398">
      <w:start w:val="1"/>
      <w:numFmt w:val="bullet"/>
      <w:lvlText w:val="o"/>
      <w:lvlJc w:val="left"/>
      <w:pPr>
        <w:ind w:left="4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80022">
      <w:start w:val="1"/>
      <w:numFmt w:val="bullet"/>
      <w:lvlText w:val="▪"/>
      <w:lvlJc w:val="left"/>
      <w:pPr>
        <w:ind w:left="5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B1F97"/>
    <w:multiLevelType w:val="hybridMultilevel"/>
    <w:tmpl w:val="0FCC5376"/>
    <w:lvl w:ilvl="0" w:tplc="808E63E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51902"/>
    <w:multiLevelType w:val="hybridMultilevel"/>
    <w:tmpl w:val="33E408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0"/>
    <w:rsid w:val="00071FA2"/>
    <w:rsid w:val="001C4FF7"/>
    <w:rsid w:val="0036191A"/>
    <w:rsid w:val="0037375A"/>
    <w:rsid w:val="004119EC"/>
    <w:rsid w:val="004E0D7E"/>
    <w:rsid w:val="00564405"/>
    <w:rsid w:val="005A10A8"/>
    <w:rsid w:val="007606A5"/>
    <w:rsid w:val="007E579B"/>
    <w:rsid w:val="008D2E88"/>
    <w:rsid w:val="009A3BAC"/>
    <w:rsid w:val="00C54CB0"/>
    <w:rsid w:val="00D867CE"/>
    <w:rsid w:val="00F031F8"/>
    <w:rsid w:val="00F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D4D"/>
  <w15:docId w15:val="{625BED8D-00F1-491C-87C3-5132DDEA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Francesco Gardumi</cp:lastModifiedBy>
  <cp:revision>9</cp:revision>
  <dcterms:created xsi:type="dcterms:W3CDTF">2015-08-24T12:07:00Z</dcterms:created>
  <dcterms:modified xsi:type="dcterms:W3CDTF">2017-11-10T08:32:00Z</dcterms:modified>
</cp:coreProperties>
</file>